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20" w:rsidRPr="00F27520" w:rsidRDefault="00F27520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40"/>
          <w:szCs w:val="40"/>
          <w:lang w:val="en-US"/>
        </w:rPr>
      </w:pPr>
      <w:r w:rsidRPr="00F27520">
        <w:rPr>
          <w:rFonts w:ascii="Cambria" w:hAnsi="Cambria" w:cs="Cambria"/>
          <w:sz w:val="40"/>
          <w:szCs w:val="40"/>
          <w:lang w:val="en-US"/>
        </w:rPr>
        <w:t xml:space="preserve">Program </w:t>
      </w:r>
      <w:proofErr w:type="spellStart"/>
      <w:r w:rsidRPr="00F27520">
        <w:rPr>
          <w:rFonts w:ascii="Cambria" w:hAnsi="Cambria" w:cs="Cambria"/>
          <w:sz w:val="40"/>
          <w:szCs w:val="40"/>
          <w:lang w:val="en-US"/>
        </w:rPr>
        <w:t>Mengelola</w:t>
      </w:r>
      <w:proofErr w:type="spellEnd"/>
      <w:r w:rsidRPr="00F27520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F27520">
        <w:rPr>
          <w:rFonts w:ascii="Cambria" w:hAnsi="Cambria" w:cs="Cambria"/>
          <w:sz w:val="40"/>
          <w:szCs w:val="40"/>
          <w:lang w:val="en-US"/>
        </w:rPr>
        <w:t>Ekonomi</w:t>
      </w:r>
      <w:proofErr w:type="spellEnd"/>
      <w:r w:rsidRPr="00F27520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F27520">
        <w:rPr>
          <w:rFonts w:ascii="Cambria" w:hAnsi="Cambria" w:cs="Cambria"/>
          <w:sz w:val="40"/>
          <w:szCs w:val="40"/>
          <w:lang w:val="en-US"/>
        </w:rPr>
        <w:t>Keluarga</w:t>
      </w:r>
      <w:proofErr w:type="spellEnd"/>
      <w:r w:rsidRPr="00F27520">
        <w:rPr>
          <w:rFonts w:ascii="Cambria" w:hAnsi="Cambria" w:cs="Cambria"/>
          <w:sz w:val="40"/>
          <w:szCs w:val="40"/>
          <w:lang w:val="en-US"/>
        </w:rPr>
        <w:t xml:space="preserve"> (PROMEKA)</w:t>
      </w:r>
      <w:r w:rsidRPr="00F27520">
        <w:rPr>
          <w:rFonts w:ascii="Cambria" w:hAnsi="Cambria"/>
          <w:b w:val="0"/>
          <w:sz w:val="40"/>
          <w:szCs w:val="40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F27520">
        <w:rPr>
          <w:rFonts w:ascii="Cambria" w:hAnsi="Cambria"/>
          <w:b w:val="0"/>
          <w:sz w:val="16"/>
          <w:szCs w:val="16"/>
          <w:lang w:val="en-US"/>
        </w:rPr>
        <w:t xml:space="preserve"> 25</w:t>
      </w:r>
      <w:r w:rsidR="0096149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AF434C">
        <w:rPr>
          <w:rFonts w:ascii="Cambria" w:hAnsi="Cambria"/>
          <w:b w:val="0"/>
          <w:sz w:val="16"/>
          <w:szCs w:val="16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Februari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F27520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Administrator\Downloads\Compressed\promek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promeka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20" w:rsidRDefault="00BC7FD5" w:rsidP="00F27520">
      <w:p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Asosiasi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Pengembangan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(ALFED)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bekerjasama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Provinsi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Barat,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Kota Bogor, Tim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Penggerak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PKK Kota Bogor, OJK,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berbagai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Bogor,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Bekasi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Karawang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>
        <w:rPr>
          <w:rFonts w:ascii="Cambria" w:hAnsi="Cambria" w:cs="Cambria"/>
          <w:sz w:val="26"/>
          <w:szCs w:val="26"/>
          <w:lang w:val="en-US" w:eastAsia="id-ID"/>
        </w:rPr>
        <w:t>Tasikmalaya</w:t>
      </w:r>
      <w:proofErr w:type="spellEnd"/>
      <w:r w:rsidR="00F27520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27520" w:rsidRDefault="00F27520" w:rsidP="00F27520">
      <w:p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Semoga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Tridharma.</w:t>
      </w:r>
      <w:proofErr w:type="spellEnd"/>
      <w:proofErr w:type="gramEnd"/>
    </w:p>
    <w:p w:rsidR="00F27520" w:rsidRDefault="00F27520" w:rsidP="00F27520">
      <w:p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86F8F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486F8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486F8F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486F8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86F8F">
        <w:rPr>
          <w:rFonts w:ascii="Cambria" w:hAnsi="Cambria" w:cs="Cambria"/>
          <w:color w:val="0070C0"/>
          <w:sz w:val="26"/>
          <w:szCs w:val="26"/>
          <w:lang w:val="en-US" w:eastAsia="id-ID"/>
        </w:rPr>
        <w:t>Rubini.</w:t>
      </w:r>
      <w:proofErr w:type="gramStart"/>
      <w:r w:rsidRPr="00486F8F">
        <w:rPr>
          <w:rFonts w:ascii="Cambria" w:hAnsi="Cambria" w:cs="Cambria"/>
          <w:color w:val="0070C0"/>
          <w:sz w:val="26"/>
          <w:szCs w:val="26"/>
          <w:lang w:val="en-US" w:eastAsia="id-ID"/>
        </w:rPr>
        <w:t>,M.Pd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Institusi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wajib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kemandirian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canangkan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Pengembangan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merasakan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manfaatnya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27520" w:rsidRDefault="00F27520" w:rsidP="00F27520">
      <w:pPr>
        <w:autoSpaceDE w:val="0"/>
        <w:autoSpaceDN w:val="0"/>
        <w:adjustRightInd w:val="0"/>
        <w:spacing w:line="228" w:lineRule="auto"/>
        <w:jc w:val="center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5154813" cy="2647950"/>
            <wp:effectExtent l="19050" t="0" r="7737" b="0"/>
            <wp:docPr id="4" name="Picture 4" descr="C:\Users\Administrator\Downloads\Compressed\prome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Compressed\promeka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608" cy="265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20" w:rsidRDefault="00F27520" w:rsidP="00F27520">
      <w:p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587375</wp:posOffset>
            </wp:positionV>
            <wp:extent cx="1028700" cy="1143000"/>
            <wp:effectExtent l="19050" t="0" r="0" b="0"/>
            <wp:wrapTight wrapText="bothSides">
              <wp:wrapPolygon edited="0">
                <wp:start x="-400" y="0"/>
                <wp:lineTo x="-400" y="21600"/>
                <wp:lineTo x="21600" y="21600"/>
                <wp:lineTo x="21600" y="0"/>
                <wp:lineTo x="-400" y="0"/>
              </wp:wrapPolygon>
            </wp:wrapTight>
            <wp:docPr id="8" name="Picture 7" descr="C:\Users\Administrator\Downloads\Compressed\prome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wnloads\Compressed\promeka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Umum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Bambang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Setiono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melantik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pengurus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pengawas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Bogor,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Karawang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Tasikmalaya.</w:t>
      </w:r>
      <w:proofErr w:type="spellEnd"/>
    </w:p>
    <w:p w:rsidR="00F27520" w:rsidRDefault="00F27520" w:rsidP="00F27520">
      <w:p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PROMEKA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Tridharma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kewajiban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amanatkan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UU No.12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2012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,”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Umum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ALFED, </w:t>
      </w:r>
      <w:proofErr w:type="spellStart"/>
      <w:r w:rsidRPr="00486F8F">
        <w:rPr>
          <w:rFonts w:ascii="Cambria" w:hAnsi="Cambria" w:cs="Cambria"/>
          <w:color w:val="C00000"/>
          <w:sz w:val="26"/>
          <w:szCs w:val="26"/>
          <w:lang w:val="en-US" w:eastAsia="id-ID"/>
        </w:rPr>
        <w:t>Bambang</w:t>
      </w:r>
      <w:proofErr w:type="spellEnd"/>
      <w:r w:rsidRPr="00486F8F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486F8F">
        <w:rPr>
          <w:rFonts w:ascii="Cambria" w:hAnsi="Cambria" w:cs="Cambria"/>
          <w:color w:val="C00000"/>
          <w:sz w:val="26"/>
          <w:szCs w:val="26"/>
          <w:lang w:val="en-US" w:eastAsia="id-ID"/>
        </w:rPr>
        <w:t>Setiono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F27520" w:rsidRDefault="00F27520" w:rsidP="00F27520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F27520" w:rsidRDefault="00F27520" w:rsidP="00F27520">
      <w:p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1038225" cy="1199515"/>
            <wp:effectExtent l="19050" t="0" r="9525" b="0"/>
            <wp:wrapTight wrapText="bothSides">
              <wp:wrapPolygon edited="0">
                <wp:start x="-396" y="0"/>
                <wp:lineTo x="-396" y="21268"/>
                <wp:lineTo x="21798" y="21268"/>
                <wp:lineTo x="21798" y="0"/>
                <wp:lineTo x="-396" y="0"/>
              </wp:wrapPolygon>
            </wp:wrapTight>
            <wp:docPr id="10" name="Picture 9" descr="C:\Users\Administrator\Downloads\Compressed\prome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wnloads\Compressed\promeka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Walikota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486F8F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Dr. </w:t>
      </w:r>
      <w:proofErr w:type="spellStart"/>
      <w:r w:rsidRPr="00486F8F">
        <w:rPr>
          <w:rFonts w:ascii="Cambria" w:hAnsi="Cambria" w:cs="Cambria"/>
          <w:color w:val="00B050"/>
          <w:sz w:val="26"/>
          <w:szCs w:val="26"/>
          <w:lang w:val="en-US" w:eastAsia="id-ID"/>
        </w:rPr>
        <w:t>Bima</w:t>
      </w:r>
      <w:proofErr w:type="spellEnd"/>
      <w:r w:rsidRPr="00486F8F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486F8F">
        <w:rPr>
          <w:rFonts w:ascii="Cambria" w:hAnsi="Cambria" w:cs="Cambria"/>
          <w:color w:val="00B050"/>
          <w:sz w:val="26"/>
          <w:szCs w:val="26"/>
          <w:lang w:val="en-US" w:eastAsia="id-ID"/>
        </w:rPr>
        <w:t>Arya</w:t>
      </w:r>
      <w:proofErr w:type="spellEnd"/>
      <w:r w:rsidRPr="00486F8F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486F8F">
        <w:rPr>
          <w:rFonts w:ascii="Cambria" w:hAnsi="Cambria" w:cs="Cambria"/>
          <w:color w:val="00B050"/>
          <w:sz w:val="26"/>
          <w:szCs w:val="26"/>
          <w:lang w:val="en-US" w:eastAsia="id-ID"/>
        </w:rPr>
        <w:t>Sugiarto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diskusi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kota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dikatakan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Urban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pendamping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memperbaiki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kesejahteraan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Mengelola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F27520" w:rsidRDefault="00F27520" w:rsidP="00F27520">
      <w:p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PROMEKA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mempunyai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visi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kesejahteraan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Perekonomian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Daerah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Kecamatan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berikut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:</w:t>
      </w:r>
    </w:p>
    <w:p w:rsidR="00F27520" w:rsidRDefault="00F27520" w:rsidP="00F27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forum yang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efektif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kesejahteraan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jangka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panjang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memberdayakan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masyarakat.</w:t>
      </w:r>
      <w:proofErr w:type="spellEnd"/>
    </w:p>
    <w:p w:rsidR="00F27520" w:rsidRDefault="00F27520" w:rsidP="00F27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kualitas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Tridharma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Indonesia.</w:t>
      </w:r>
      <w:proofErr w:type="spellEnd"/>
    </w:p>
    <w:p w:rsidR="00F27520" w:rsidRDefault="00486F8F" w:rsidP="00F27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Mendorong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Implementasi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="00F27520" w:rsidRPr="00F27520"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 w:rsidR="00F27520"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 w:rsidRPr="00F27520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F27520"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 w:rsidRPr="00F27520"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 w:rsidR="00F27520"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 w:rsidRPr="00F27520">
        <w:rPr>
          <w:rFonts w:ascii="Cambria" w:hAnsi="Cambria" w:cs="Cambria"/>
          <w:sz w:val="26"/>
          <w:szCs w:val="26"/>
          <w:lang w:val="en-US" w:eastAsia="id-ID"/>
        </w:rPr>
        <w:t>inklusi</w:t>
      </w:r>
      <w:proofErr w:type="spellEnd"/>
      <w:r w:rsidR="00F27520"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27520" w:rsidRPr="00F27520">
        <w:rPr>
          <w:rFonts w:ascii="Cambria" w:hAnsi="Cambria" w:cs="Cambria"/>
          <w:sz w:val="26"/>
          <w:szCs w:val="26"/>
          <w:lang w:val="en-US" w:eastAsia="id-ID"/>
        </w:rPr>
        <w:t>keuangan.</w:t>
      </w:r>
      <w:proofErr w:type="spellEnd"/>
    </w:p>
    <w:p w:rsidR="00F27520" w:rsidRDefault="00F27520" w:rsidP="00F27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Mendorong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transparansi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akuntabilitas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pelayanan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publik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pemerintahan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kecamatan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stakeholder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lainnya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nasional.</w:t>
      </w:r>
      <w:proofErr w:type="spellEnd"/>
    </w:p>
    <w:p w:rsidR="00F27520" w:rsidRDefault="00F27520" w:rsidP="00F27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transparansi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akuntabilitas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industri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peraturan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berlaku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terkait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kewajiban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literasi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inklusi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keuangan.</w:t>
      </w:r>
      <w:proofErr w:type="spellEnd"/>
    </w:p>
    <w:p w:rsidR="00F27520" w:rsidRPr="00F27520" w:rsidRDefault="00F27520" w:rsidP="00F27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lastRenderedPageBreak/>
        <w:t>Membangun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transparansi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akuntabilitas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perusahaan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peraturan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berlaku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terkait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tanggungjawab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sosial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27520">
        <w:rPr>
          <w:rFonts w:ascii="Cambria" w:hAnsi="Cambria" w:cs="Cambria"/>
          <w:sz w:val="26"/>
          <w:szCs w:val="26"/>
          <w:lang w:val="en-US" w:eastAsia="id-ID"/>
        </w:rPr>
        <w:t>hidup</w:t>
      </w:r>
      <w:proofErr w:type="spellEnd"/>
      <w:r w:rsidRPr="00F27520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27520" w:rsidRDefault="00F27520" w:rsidP="00F27520">
      <w:pPr>
        <w:pBdr>
          <w:top w:val="single" w:sz="4" w:space="1" w:color="auto"/>
        </w:pBdr>
        <w:autoSpaceDE w:val="0"/>
        <w:autoSpaceDN w:val="0"/>
        <w:adjustRightInd w:val="0"/>
        <w:spacing w:line="252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F27520" w:rsidRPr="00F27520" w:rsidRDefault="00F27520" w:rsidP="00F27520">
      <w:pPr>
        <w:autoSpaceDE w:val="0"/>
        <w:autoSpaceDN w:val="0"/>
        <w:adjustRightInd w:val="0"/>
        <w:spacing w:line="252" w:lineRule="auto"/>
        <w:rPr>
          <w:rFonts w:ascii="Cambria" w:hAnsi="Cambria" w:cs="Cambria"/>
          <w:b/>
          <w:sz w:val="26"/>
          <w:szCs w:val="26"/>
          <w:lang w:val="en-US" w:eastAsia="id-ID"/>
        </w:rPr>
      </w:pPr>
      <w:r w:rsidRPr="00F27520">
        <w:rPr>
          <w:rFonts w:ascii="Cambria" w:hAnsi="Cambria" w:cs="Cambria"/>
          <w:b/>
          <w:sz w:val="26"/>
          <w:szCs w:val="26"/>
          <w:lang w:val="en-US" w:eastAsia="id-ID"/>
        </w:rPr>
        <w:t xml:space="preserve">PROMEKA </w:t>
      </w:r>
      <w:proofErr w:type="spellStart"/>
      <w:r w:rsidRPr="00F27520">
        <w:rPr>
          <w:rFonts w:ascii="Cambria" w:hAnsi="Cambria" w:cs="Cambria"/>
          <w:b/>
          <w:sz w:val="26"/>
          <w:szCs w:val="26"/>
          <w:lang w:val="en-US" w:eastAsia="id-ID"/>
        </w:rPr>
        <w:t>Jawa</w:t>
      </w:r>
      <w:proofErr w:type="spellEnd"/>
      <w:r w:rsidRPr="00F27520">
        <w:rPr>
          <w:rFonts w:ascii="Cambria" w:hAnsi="Cambria" w:cs="Cambria"/>
          <w:b/>
          <w:sz w:val="26"/>
          <w:szCs w:val="26"/>
          <w:lang w:val="en-US" w:eastAsia="id-ID"/>
        </w:rPr>
        <w:t xml:space="preserve"> Barat</w:t>
      </w:r>
    </w:p>
    <w:p w:rsidR="00F27520" w:rsidRDefault="00F27520" w:rsidP="00F27520">
      <w:pPr>
        <w:autoSpaceDE w:val="0"/>
        <w:autoSpaceDN w:val="0"/>
        <w:adjustRightInd w:val="0"/>
        <w:spacing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sebuah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forum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kecamatan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lembaga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kecamatan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industri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kecamatan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target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kecamatan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sasaran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miskin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pendapatan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cukup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memenuhi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kebutuhan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hidupnya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usaha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mikro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usaha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retail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TKI.</w:t>
      </w:r>
      <w:proofErr w:type="gramEnd"/>
    </w:p>
    <w:p w:rsidR="00F27520" w:rsidRDefault="00F27520" w:rsidP="00F27520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Para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Forek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didampingi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fasilitator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setempat.PROMEKA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mempunyai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penilaian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kesehatan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sebuah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aplikasi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nama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ITIKAD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Indikator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Kesejahteraan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Independen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Kedua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pengelolaan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berdsarkan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analisis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ITIKAD.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Dan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ketiga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bantuan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sesuai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kebutuhan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berdasarkan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kedua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F27520" w:rsidRDefault="00F27520" w:rsidP="00F27520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Gubernur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Barat, Ahmad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Heryawan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mendukung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peluncunan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Barat.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berharap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provinsi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literasi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inklusi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mereka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korban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jeratan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rentenr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berharap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tabungan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Barat,”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ucap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Ahmad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Heryawan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F27520" w:rsidRDefault="00F27520" w:rsidP="00F27520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Walikota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Bogor,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ikut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peluncuran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berharap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percontohan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sukses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“Kota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Kota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kreatif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,”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mereka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mengelola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perekonomian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menabung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,”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lanjut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F27520" w:rsidRDefault="00F27520" w:rsidP="00F27520">
      <w:pPr>
        <w:autoSpaceDE w:val="0"/>
        <w:autoSpaceDN w:val="0"/>
        <w:adjustRightInd w:val="0"/>
        <w:spacing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peluncuran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diskusi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panel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tema“Membangun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Inklusif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“</w:t>
      </w:r>
    </w:p>
    <w:p w:rsidR="00F27520" w:rsidRDefault="00F27520" w:rsidP="00F27520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Tim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Penggerak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PKK Kota Bogor,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Yane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ikut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diskusi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panel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bergembira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Bogor.</w:t>
      </w:r>
      <w:proofErr w:type="gramEnd"/>
    </w:p>
    <w:p w:rsidR="00F27520" w:rsidRDefault="00F27520" w:rsidP="00F27520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Yane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Ardia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: 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perekonomian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dinamis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berpengaruh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perkembangan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daerah-daerah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termasuk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TP PKK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mengelola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ibu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kesejahteraan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meiningkat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F27520" w:rsidRDefault="00F27520" w:rsidP="00F27520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Berharap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kesejahteraan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kualitas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ibu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.”</w:t>
      </w:r>
      <w:proofErr w:type="gramEnd"/>
    </w:p>
    <w:p w:rsidR="00F27520" w:rsidRDefault="00F27520" w:rsidP="00F27520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Otoritas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(OJK)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wewenang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mengawasi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melindungi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industri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peluncuran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PROMEKA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Gonthor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Azis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Departemen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Pengawasan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Modal 1A –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Otoritas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27520" w:rsidRDefault="00F27520" w:rsidP="00F27520">
      <w:pPr>
        <w:autoSpaceDE w:val="0"/>
        <w:autoSpaceDN w:val="0"/>
        <w:adjustRightInd w:val="0"/>
        <w:spacing w:line="228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(OJK)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: “PROMEKA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diinisiasi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kontribusi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signifikan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mendorong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literasi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inklusi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air.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Seperti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pemangku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kepentingan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lainnya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sekaligus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mengapresiasi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inisiatif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digagas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ALFED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.”</w:t>
      </w:r>
      <w:proofErr w:type="gramEnd"/>
    </w:p>
    <w:p w:rsidR="00DD0ECD" w:rsidRPr="00DD0ECD" w:rsidRDefault="007C3A7B" w:rsidP="00F27520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F51C2"/>
    <w:multiLevelType w:val="hybridMultilevel"/>
    <w:tmpl w:val="A3ACA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4940"/>
    <w:rsid w:val="000A6895"/>
    <w:rsid w:val="000A7DC3"/>
    <w:rsid w:val="000E1B1C"/>
    <w:rsid w:val="000E41E7"/>
    <w:rsid w:val="00116897"/>
    <w:rsid w:val="00126B68"/>
    <w:rsid w:val="00141C9C"/>
    <w:rsid w:val="00145744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586F"/>
    <w:rsid w:val="0043345C"/>
    <w:rsid w:val="004415F3"/>
    <w:rsid w:val="004520D4"/>
    <w:rsid w:val="004537A3"/>
    <w:rsid w:val="00472494"/>
    <w:rsid w:val="004726E4"/>
    <w:rsid w:val="00484D67"/>
    <w:rsid w:val="00485944"/>
    <w:rsid w:val="00486F8F"/>
    <w:rsid w:val="004B0D89"/>
    <w:rsid w:val="004C5D7D"/>
    <w:rsid w:val="004E11A2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604226"/>
    <w:rsid w:val="0060591C"/>
    <w:rsid w:val="006311DF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B422A"/>
    <w:rsid w:val="007C0C46"/>
    <w:rsid w:val="007C3A7B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B07AB"/>
    <w:rsid w:val="00AB3204"/>
    <w:rsid w:val="00AC31A6"/>
    <w:rsid w:val="00AC5217"/>
    <w:rsid w:val="00AD36E4"/>
    <w:rsid w:val="00AE53B4"/>
    <w:rsid w:val="00AF434C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27520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40</cp:revision>
  <cp:lastPrinted>2017-02-20T06:07:00Z</cp:lastPrinted>
  <dcterms:created xsi:type="dcterms:W3CDTF">2016-10-29T05:57:00Z</dcterms:created>
  <dcterms:modified xsi:type="dcterms:W3CDTF">2017-02-25T04:36:00Z</dcterms:modified>
</cp:coreProperties>
</file>