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A2E07" w:rsidRPr="004B1D0A" w:rsidRDefault="004B1D0A" w:rsidP="007A2E07">
      <w:pPr>
        <w:pStyle w:val="Heading1"/>
        <w:spacing w:before="0" w:beforeAutospacing="0" w:after="0" w:afterAutospacing="0"/>
        <w:jc w:val="center"/>
        <w:rPr>
          <w:rFonts w:ascii="Cambria" w:hAnsi="Cambria" w:cs="Cambria"/>
          <w:sz w:val="44"/>
          <w:szCs w:val="44"/>
          <w:lang w:val="en-US"/>
        </w:rPr>
      </w:pPr>
      <w:r w:rsidRPr="004B1D0A">
        <w:rPr>
          <w:rFonts w:ascii="Cambria" w:hAnsi="Cambria" w:cs="Cambria"/>
          <w:sz w:val="44"/>
          <w:szCs w:val="44"/>
          <w:lang w:val="en-US"/>
        </w:rPr>
        <w:t>Musyawarah Kerja Nasional (ADRI) ke I</w:t>
      </w:r>
    </w:p>
    <w:p w:rsidR="004B1D0A" w:rsidRDefault="004B1D0A" w:rsidP="007A2E07">
      <w:pPr>
        <w:pStyle w:val="Heading1"/>
        <w:spacing w:before="0" w:beforeAutospacing="0" w:after="0" w:afterAutospacing="0"/>
        <w:jc w:val="center"/>
        <w:rPr>
          <w:rFonts w:ascii="Cambria" w:hAnsi="Cambria" w:cs="Cambria"/>
          <w:sz w:val="26"/>
          <w:szCs w:val="26"/>
          <w:lang w:val="en-US"/>
        </w:rPr>
      </w:pPr>
    </w:p>
    <w:p w:rsidR="00BC7FD5" w:rsidRPr="00F917D8" w:rsidRDefault="007A2E07" w:rsidP="007A2E07">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xml:space="preserve"> </w:t>
      </w:r>
      <w:r w:rsidR="00F2119F" w:rsidRPr="00AB3204">
        <w:rPr>
          <w:rFonts w:ascii="Cambria" w:hAnsi="Cambria"/>
          <w:b w:val="0"/>
          <w:sz w:val="16"/>
          <w:szCs w:val="16"/>
        </w:rPr>
        <w:t>( 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4B1D0A">
        <w:rPr>
          <w:rFonts w:ascii="Cambria" w:hAnsi="Cambria"/>
          <w:b w:val="0"/>
          <w:sz w:val="16"/>
          <w:szCs w:val="16"/>
          <w:lang w:val="en-US"/>
        </w:rPr>
        <w:t>3 April</w:t>
      </w:r>
      <w:r w:rsidR="00424F25">
        <w:rPr>
          <w:rFonts w:ascii="Cambria" w:hAnsi="Cambria"/>
          <w:b w:val="0"/>
          <w:sz w:val="16"/>
          <w:szCs w:val="16"/>
          <w:lang w:val="en-US"/>
        </w:rPr>
        <w:t xml:space="preserve"> </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4B1D0A"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34050" cy="4295775"/>
            <wp:effectExtent l="19050" t="0" r="0" b="0"/>
            <wp:docPr id="2" name="Picture 2" descr="C:\Users\Administrator\Downloads\Compressed\adri_20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adri_2017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4B1D0A" w:rsidRDefault="00BC7FD5" w:rsidP="004B1D0A">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4B1D0A">
        <w:rPr>
          <w:rFonts w:ascii="Cambria" w:hAnsi="Cambria" w:cs="Cambria"/>
          <w:sz w:val="26"/>
          <w:szCs w:val="26"/>
          <w:lang w:val="en-US" w:eastAsia="id-ID"/>
        </w:rPr>
        <w:t>12 Tahun ADRI dalam kiprahnya mengadakan International Conference Collaboratioan Among Universities Toward Global Competition di Gedung Graha Pakuan Universitas Pakuan.</w:t>
      </w:r>
    </w:p>
    <w:p w:rsidR="004B1D0A" w:rsidRDefault="004B1D0A" w:rsidP="004B1D0A">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Ketua Sekjen ADRI Dr.Hj. Eri Sarimanah, M.Pd bahwa adanya Musyawarah Nasional Perkumpulan Ahli dan Dosen Republik Indonesia (ADRI) ke-1 memberikan semangat dalam kinerjanya untuk "Mewujudkan Dosen Profesional dan Berintegritas".</w:t>
      </w:r>
    </w:p>
    <w:p w:rsidR="004B1D0A" w:rsidRDefault="004B1D0A" w:rsidP="004B1D0A">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Langkah ke depan ADRI adalah meningkatkan perannya sebagai wadah dalam menghimpun atau melahirkan berbagai pemikiran-pemikiran yang dapat </w:t>
      </w:r>
      <w:r>
        <w:rPr>
          <w:rFonts w:ascii="Cambria" w:hAnsi="Cambria" w:cs="Cambria"/>
          <w:sz w:val="26"/>
          <w:szCs w:val="26"/>
          <w:lang w:val="en-US" w:eastAsia="id-ID"/>
        </w:rPr>
        <w:lastRenderedPageBreak/>
        <w:t>menjadi kebijakan dan strategi ADRI sebagai mitra bersinergi dengan Kemenristek Dikti.</w:t>
      </w:r>
    </w:p>
    <w:p w:rsidR="004B1D0A" w:rsidRDefault="004B1D0A" w:rsidP="004B1D0A">
      <w:pPr>
        <w:autoSpaceDE w:val="0"/>
        <w:autoSpaceDN w:val="0"/>
        <w:adjustRightInd w:val="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24525" cy="2819400"/>
            <wp:effectExtent l="19050" t="0" r="9525" b="0"/>
            <wp:docPr id="5" name="Picture 5" descr="C:\Users\Administrator\Downloads\Compressed\adri_20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adri_2017_1.jpg"/>
                    <pic:cNvPicPr>
                      <a:picLocks noChangeAspect="1" noChangeArrowheads="1"/>
                    </pic:cNvPicPr>
                  </pic:nvPicPr>
                  <pic:blipFill>
                    <a:blip r:embed="rId8"/>
                    <a:srcRect/>
                    <a:stretch>
                      <a:fillRect/>
                    </a:stretch>
                  </pic:blipFill>
                  <pic:spPr bwMode="auto">
                    <a:xfrm>
                      <a:off x="0" y="0"/>
                      <a:ext cx="5724525" cy="2819400"/>
                    </a:xfrm>
                    <a:prstGeom prst="rect">
                      <a:avLst/>
                    </a:prstGeom>
                    <a:noFill/>
                    <a:ln w="9525">
                      <a:noFill/>
                      <a:miter lim="800000"/>
                      <a:headEnd/>
                      <a:tailEnd/>
                    </a:ln>
                  </pic:spPr>
                </pic:pic>
              </a:graphicData>
            </a:graphic>
          </wp:inline>
        </w:drawing>
      </w:r>
    </w:p>
    <w:p w:rsidR="004B1D0A" w:rsidRDefault="004B1D0A" w:rsidP="004B1D0A">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Dihadiri Direktur Jenderal Sumber Daya Iptek Dikti  Prof. dr. Ali Ghufron Mukti, M.Sc., Ph.D, Ketua Umum ADRI Dr.H.Achmad Fathoni Rodli, para pendiri ADRI Prof.Dr. Muchlis R. Luddin, M.A Prof.Dr. Toho Cholik M.Sahir, M.Sc., Prof.Dr. Supari Muslim, M.Pd Rektor Universitas Pakuan Dr.H.Bibin Rubini M.Pd , Ketua Yayasan Pakuan Siliwangi H.Subandi Al Marshudi MH dan para Ketua DPD ADRI seluruh perwakilan di Indonesia berserta anggota delegasi.</w:t>
      </w: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Ketua Umum ADRI Dr.H. Achmad Fathoni Rodli, M.Pd pada kesempatan yang sama mengatakan bahwa secara organisasi ADRI mendukung pelaksanaan Permenristekdikti No. 20 tahun 2017. Sangat bangga kegiatan kami diapresiasi Kementerian, bahwa telah memiliki infrastruktur dan program untuk meningkatkan kemampuan riset dan publikasi ilmiah dosen-dosen yang menjadi anggota ADRI.</w:t>
      </w:r>
    </w:p>
    <w:p w:rsidR="004B1D0A" w:rsidRDefault="004B1D0A" w:rsidP="004B1D0A">
      <w:pPr>
        <w:autoSpaceDE w:val="0"/>
        <w:autoSpaceDN w:val="0"/>
        <w:adjustRightInd w:val="0"/>
        <w:spacing w:after="0"/>
        <w:rPr>
          <w:rFonts w:ascii="Cambria" w:hAnsi="Cambria" w:cs="Cambria"/>
          <w:sz w:val="26"/>
          <w:szCs w:val="26"/>
          <w:lang w:val="en-US" w:eastAsia="id-ID"/>
        </w:rPr>
      </w:pP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Berkaitan dengan kegiatan MUKERNAS ADRI disertakan pelantikan DPD ADRI untuk Kalimantan Tengah, Sulawesi Utara dan Sumatra Utara</w:t>
      </w: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 xml:space="preserve">Dirjendikti Prof. dr. Ali Ghufron Mukti, M.Sc., Ph.D mengatakan bahwa Kementerian akan memberikan sosialisasi dan fasilitasi agar Permenristekdikti No. 20 tahun 2017 ini dapat dipahami dan di implementasikan dengan baik, bahwa Kemenristekdikti mendengar seluruh masukan dari masyarakat akademis terkait kebijakan tersebut. Semua pendapat harus didengar dan diserap dengan baik “Aspirasi publik akademis terus kami simak, baik yang belum memahami maupun yang mendukung dan mendorong kebijakan ini, tidak sedikit yang </w:t>
      </w:r>
      <w:r>
        <w:rPr>
          <w:rFonts w:ascii="Cambria" w:hAnsi="Cambria" w:cs="Cambria"/>
          <w:sz w:val="26"/>
          <w:szCs w:val="26"/>
          <w:lang w:val="en-US" w:eastAsia="id-ID"/>
        </w:rPr>
        <w:lastRenderedPageBreak/>
        <w:t>memberikan dukungan terhadap kebijakan ini, seperti yang ditunjukan oleh ADRI” tegasnya.</w:t>
      </w:r>
    </w:p>
    <w:p w:rsidR="004B1D0A" w:rsidRDefault="004B1D0A" w:rsidP="004B1D0A">
      <w:pPr>
        <w:autoSpaceDE w:val="0"/>
        <w:autoSpaceDN w:val="0"/>
        <w:adjustRightInd w:val="0"/>
        <w:spacing w:after="0"/>
        <w:rPr>
          <w:rFonts w:ascii="Cambria" w:hAnsi="Cambria" w:cs="Cambria"/>
          <w:sz w:val="26"/>
          <w:szCs w:val="26"/>
          <w:lang w:val="en-US" w:eastAsia="id-ID"/>
        </w:rPr>
      </w:pP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Rektor Universitas Pakuan Dr.H. Bibin Rubini,M.Pd ini kesempatan baik kehadiran Menteri Riset, Teknologi dan Pendidikan Tinggi Prof. H. Mohamad Nasir, Ph.D., Ak. yang berupaya untuk meningkatkan peran para Ahli Dosen Republik Indonesia yang sudah siap menyelenggarakan kegiatan Musyawarah Kerja Nasional dapat merumuskan Anggaran Dasar dan Anggaran Rumah Tangga maupun kepentingan lain yang berkaitan dengan pengingkatan kualitas dosen. Kinerja dosen akan tertantang dalam menghasilkan sumber daya manusia, kedepannya untuk memajukan generasi bangsa bisa diandalkan itu harus dimulai dari semangat untuk meningkatkan kualitas dosen itu sendiri.</w:t>
      </w:r>
    </w:p>
    <w:p w:rsidR="004B1D0A" w:rsidRDefault="004B1D0A" w:rsidP="004B1D0A">
      <w:pPr>
        <w:autoSpaceDE w:val="0"/>
        <w:autoSpaceDN w:val="0"/>
        <w:adjustRightInd w:val="0"/>
        <w:spacing w:after="0"/>
        <w:rPr>
          <w:rFonts w:ascii="Cambria" w:hAnsi="Cambria" w:cs="Cambria"/>
          <w:sz w:val="26"/>
          <w:szCs w:val="26"/>
          <w:lang w:val="en-US" w:eastAsia="id-ID"/>
        </w:rPr>
      </w:pP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Keberadaan ADRI sekarang dan kedepannya merasa memiliki kepentingan tersebut karena sebuah perguruan tinggi berhadapan dengan sejumlah persaingan , baik dilingkup negara ASEAN maupun Global.</w:t>
      </w: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Menteri Riset, Teknologi, dan Pendidikan Tinggi Mohamad Nasir di hadapan peserta Musyawarah Kerja Nasional Perkumpulan Ahli dan Dosen Republik Indonesia (ADRI) ke satu bahwa “Hasil riset ilmiah di perguruan tinggi harus dipublikasikan, sehingga riset tersebut memiliki makna lebih dan memberikan sumbangsih bagi penyebaran ilmu pengetahuan”.</w:t>
      </w:r>
    </w:p>
    <w:p w:rsidR="004B1D0A" w:rsidRDefault="004B1D0A" w:rsidP="004B1D0A">
      <w:pPr>
        <w:autoSpaceDE w:val="0"/>
        <w:autoSpaceDN w:val="0"/>
        <w:adjustRightInd w:val="0"/>
        <w:spacing w:after="0"/>
        <w:rPr>
          <w:rFonts w:ascii="Cambria" w:hAnsi="Cambria" w:cs="Cambria"/>
          <w:sz w:val="26"/>
          <w:szCs w:val="26"/>
          <w:lang w:val="en-US" w:eastAsia="id-ID"/>
        </w:rPr>
      </w:pP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Menristekdikti mengatakan bahwa Kemenristekdikti senantiasa berbenah demi menghasilkan kebijakan yang dapat mendukung iklim positif bagi perkembangan riset dan publikasi ilmiah di Indonesia. Saat ini, perlahan tapi pasti jumlah publikasi ilmiah internasional Indonesia semakin meningkat.”Dengan berbagai regulasi yang telah dirancang oleh Kementerian, per 13 Maret 2017 publikasi Internasional Indonesia saat ini sudah berada pada angka 11.675, jumlah ini jauh dibandingkan tahun 2014 yang masih pada angka 4200 “ ungkap Menteri Nasir.</w:t>
      </w:r>
    </w:p>
    <w:p w:rsidR="004B1D0A" w:rsidRDefault="004B1D0A" w:rsidP="004B1D0A">
      <w:pPr>
        <w:autoSpaceDE w:val="0"/>
        <w:autoSpaceDN w:val="0"/>
        <w:adjustRightInd w:val="0"/>
        <w:spacing w:after="0"/>
        <w:rPr>
          <w:rFonts w:ascii="Cambria" w:hAnsi="Cambria" w:cs="Cambria"/>
          <w:sz w:val="26"/>
          <w:szCs w:val="26"/>
          <w:lang w:val="en-US" w:eastAsia="id-ID"/>
        </w:rPr>
      </w:pP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Salah satu kebijakan yang diharapkan dapat mendongkrak semangat melakukan riset dan publikasi bagi dosen di Indonesia adalah dengan diterbitkannya Peraturan Menteri Riset, Teknologi, dan Pendidikan Tinggi Nomor 20 Tahun 2017 tentang Pemberian Tunjangan Profesi Dosen dan Tunjangan Kehormatan Profesor. Permenristekdikti No.20 mengamanatkan bahwa publikasi ilmiah merupakan salah satu indikator untuk melakukan evaluasi terhadap pemberian tunjangan profesi dosen dan tunjangan kehormatan guru besar.</w:t>
      </w: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 xml:space="preserve">Menristekdikti mengapresiasi organisasi ADRI sebagai wadah perkumpulan dosen dan ahli di Indonesia. Menristekdikti berharap ADRI dapat berperan aktif </w:t>
      </w:r>
      <w:r>
        <w:rPr>
          <w:rFonts w:ascii="Cambria" w:hAnsi="Cambria" w:cs="Cambria"/>
          <w:sz w:val="26"/>
          <w:szCs w:val="26"/>
          <w:lang w:val="en-US" w:eastAsia="id-ID"/>
        </w:rPr>
        <w:lastRenderedPageBreak/>
        <w:t>dalam mengkonsolidasikan dosen anggotanya untuk melakukan riset dan publikasi ilmiah.</w:t>
      </w:r>
    </w:p>
    <w:p w:rsidR="004B1D0A" w:rsidRDefault="004B1D0A" w:rsidP="004B1D0A">
      <w:pPr>
        <w:autoSpaceDE w:val="0"/>
        <w:autoSpaceDN w:val="0"/>
        <w:adjustRightInd w:val="0"/>
        <w:spacing w:after="0"/>
        <w:rPr>
          <w:rFonts w:ascii="Cambria" w:hAnsi="Cambria" w:cs="Cambria"/>
          <w:sz w:val="26"/>
          <w:szCs w:val="26"/>
          <w:lang w:val="en-US" w:eastAsia="id-ID"/>
        </w:rPr>
      </w:pPr>
    </w:p>
    <w:p w:rsidR="004B1D0A" w:rsidRDefault="004B1D0A" w:rsidP="004B1D0A">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Koordinator Perguruan Tinggi Swasta Wilayah IV jawa Barat Prof.Dr.Umam Suherman AS,M.Pd memberikan suportnya untuk para dosen semakin giat meningkatkan tujuan Tri Dharma Perguruan Tinggi serta melakukan perubahan seiring kemajuan jaman dengan pemanfaatan kemajuan teknologi.</w:t>
      </w:r>
    </w:p>
    <w:p w:rsidR="004B1D0A" w:rsidRDefault="004B1D0A" w:rsidP="004B1D0A">
      <w:pPr>
        <w:autoSpaceDE w:val="0"/>
        <w:autoSpaceDN w:val="0"/>
        <w:adjustRightInd w:val="0"/>
        <w:rPr>
          <w:rFonts w:ascii="Cambria" w:hAnsi="Cambria" w:cs="Cambria"/>
          <w:sz w:val="26"/>
          <w:szCs w:val="26"/>
          <w:lang w:val="en-US" w:eastAsia="id-ID"/>
        </w:rPr>
      </w:pPr>
    </w:p>
    <w:p w:rsidR="004B1D0A" w:rsidRDefault="004B1D0A" w:rsidP="004B1D0A">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Kegiatan ADRI di hari ke dua “International Confrence Collaboratioan Among Universities Toward Global Competition” dengan modurator Prof.Dr.Hj. Anna Permanasari, M.Si, Menghadirkan empat nara sumber dari berbagai negara Prof.Dr.Hj. Noraini Kaprawi,M.Sc Universiti Tun Hussein ONN Malaysia, Park Eun Hee Ph.D Director Korean Centre MCU Korea, Prof. Shyue-Liang Wang President National University of Kaohsiung Taiwan, sedangkan untuk memberikan tentang peran pendidikan karakter berbasis kearifan lokal Dr.H. Bibin Rubini, M.Pd sebagai nara sumbernya semoga kearifan lokal Indonesia semakin baik nilainya dan dikenal dari hasil penelitian dosen untuk dipublikasikan di tingkat nasional dan international.</w:t>
      </w:r>
    </w:p>
    <w:p w:rsidR="004B1D0A" w:rsidRDefault="004B1D0A" w:rsidP="004B1D0A">
      <w:pPr>
        <w:shd w:val="clear" w:color="auto" w:fill="FFFFFF"/>
        <w:autoSpaceDE w:val="0"/>
        <w:autoSpaceDN w:val="0"/>
        <w:adjustRightInd w:val="0"/>
        <w:spacing w:after="336" w:line="357" w:lineRule="atLeast"/>
        <w:rPr>
          <w:rFonts w:ascii="Cambria" w:hAnsi="Cambria" w:cs="Cambria"/>
          <w:b/>
          <w:bCs/>
          <w:sz w:val="26"/>
          <w:szCs w:val="26"/>
          <w:lang w:val="en-US" w:eastAsia="id-ID"/>
        </w:rPr>
      </w:pPr>
    </w:p>
    <w:p w:rsidR="004B1D0A" w:rsidRDefault="004B1D0A" w:rsidP="004B1D0A">
      <w:pPr>
        <w:shd w:val="clear" w:color="auto" w:fill="FFFFFF"/>
        <w:autoSpaceDE w:val="0"/>
        <w:autoSpaceDN w:val="0"/>
        <w:adjustRightInd w:val="0"/>
        <w:spacing w:after="336" w:line="357" w:lineRule="atLeast"/>
        <w:rPr>
          <w:rFonts w:ascii="Cambria" w:hAnsi="Cambria" w:cs="Cambria"/>
          <w:sz w:val="26"/>
          <w:szCs w:val="26"/>
          <w:lang w:val="en-US" w:eastAsia="id-ID"/>
        </w:rPr>
      </w:pPr>
      <w:r>
        <w:rPr>
          <w:rFonts w:ascii="Cambria" w:hAnsi="Cambria" w:cs="Cambria"/>
          <w:b/>
          <w:bCs/>
          <w:sz w:val="26"/>
          <w:szCs w:val="26"/>
          <w:lang w:val="en-US" w:eastAsia="id-ID"/>
        </w:rPr>
        <w:t>SIDANG KOMISI :</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1 : Anggaran Rumah Tangga dan Tata Kelola Organisasi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2 : Pengelolaan Keuangan dan Sumber Pembiayaan</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3 : Tata Kelola Keanggotaan dan Etika Profesi/Kode Etik Dosen RI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4 : International Conference, Publikasi dan Jurnal Ilmiah ADRI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5 : Naskah Akademi LAM Rumpun Ilmu</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6 : Naskah Akademi Kesejahteraan dan Sertifikasi Profesi Dosen</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7 : Kerjasama Kemitraan dan HARLINDUNG</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8 : Program dan Paket Pelatihan ADRI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9 : Research and Development Perkumpulan Peneliti Muda Indonesia</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KOMISI 10 : Mahkamah Pendidikan, Refleksi dan Rekomendasi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b/>
          <w:bCs/>
          <w:sz w:val="26"/>
          <w:szCs w:val="26"/>
          <w:lang w:val="en-US" w:eastAsia="id-ID"/>
        </w:rPr>
        <w:lastRenderedPageBreak/>
        <w:t>WORKSHOP :</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KONSEP DAN STRATEGI PENULISAN ARTIKEL BERKUALITAS GUNA PUBLIKASI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DI JURNAL INTERNASIONAL BEREPUTASI</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Narasumber : Assoc. Prof. Dr. H. Anton Muhibuddin, MS.</w:t>
      </w:r>
    </w:p>
    <w:p w:rsidR="004B1D0A" w:rsidRDefault="004B1D0A" w:rsidP="004B1D0A">
      <w:pPr>
        <w:autoSpaceDE w:val="0"/>
        <w:autoSpaceDN w:val="0"/>
        <w:adjustRightInd w:val="0"/>
        <w:spacing w:after="147" w:line="357" w:lineRule="atLeast"/>
        <w:rPr>
          <w:rFonts w:ascii="Cambria" w:hAnsi="Cambria" w:cs="Cambria"/>
          <w:sz w:val="26"/>
          <w:szCs w:val="26"/>
          <w:lang w:val="en-US" w:eastAsia="id-ID"/>
        </w:rPr>
      </w:pPr>
      <w:r>
        <w:rPr>
          <w:rFonts w:ascii="Cambria" w:hAnsi="Cambria" w:cs="Cambria"/>
          <w:sz w:val="26"/>
          <w:szCs w:val="26"/>
          <w:lang w:val="en-US" w:eastAsia="id-ID"/>
        </w:rPr>
        <w:t>OPEN JOURNAL SISTEM (OJS) dan MANUSCRIPT CITATION</w:t>
      </w:r>
    </w:p>
    <w:p w:rsidR="004B1D0A" w:rsidRDefault="004B1D0A" w:rsidP="004B1D0A">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Narasumber : Sulfikar Sallu, M. Kom</w:t>
      </w:r>
    </w:p>
    <w:p w:rsidR="00DD0ECD" w:rsidRPr="00DD0ECD" w:rsidRDefault="00652ED6" w:rsidP="004B1D0A">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E1B1C"/>
    <w:rsid w:val="000E41E7"/>
    <w:rsid w:val="00116897"/>
    <w:rsid w:val="00126B68"/>
    <w:rsid w:val="00141C9C"/>
    <w:rsid w:val="00142DB0"/>
    <w:rsid w:val="00145744"/>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166D3"/>
    <w:rsid w:val="00221BAC"/>
    <w:rsid w:val="00223C81"/>
    <w:rsid w:val="002445ED"/>
    <w:rsid w:val="00264196"/>
    <w:rsid w:val="002738AE"/>
    <w:rsid w:val="002B0BF8"/>
    <w:rsid w:val="002B223B"/>
    <w:rsid w:val="002B5058"/>
    <w:rsid w:val="002E54CF"/>
    <w:rsid w:val="002F71D2"/>
    <w:rsid w:val="00303E81"/>
    <w:rsid w:val="00304CDD"/>
    <w:rsid w:val="00310C07"/>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4F25"/>
    <w:rsid w:val="0042586F"/>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A19E1"/>
    <w:rsid w:val="007A2E0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533B9"/>
    <w:rsid w:val="00A571D2"/>
    <w:rsid w:val="00A64FA0"/>
    <w:rsid w:val="00A8432A"/>
    <w:rsid w:val="00A92E02"/>
    <w:rsid w:val="00AA3CA0"/>
    <w:rsid w:val="00AA4460"/>
    <w:rsid w:val="00AB07AB"/>
    <w:rsid w:val="00AB3204"/>
    <w:rsid w:val="00AC31A6"/>
    <w:rsid w:val="00AC5217"/>
    <w:rsid w:val="00AD36E4"/>
    <w:rsid w:val="00AE53B4"/>
    <w:rsid w:val="00AE695A"/>
    <w:rsid w:val="00AF434C"/>
    <w:rsid w:val="00B15491"/>
    <w:rsid w:val="00B27A4D"/>
    <w:rsid w:val="00B77FE9"/>
    <w:rsid w:val="00B84406"/>
    <w:rsid w:val="00B86B9B"/>
    <w:rsid w:val="00B87545"/>
    <w:rsid w:val="00B90855"/>
    <w:rsid w:val="00B94943"/>
    <w:rsid w:val="00BA2CA6"/>
    <w:rsid w:val="00BC4C24"/>
    <w:rsid w:val="00BC7FD5"/>
    <w:rsid w:val="00BD0D43"/>
    <w:rsid w:val="00BE617B"/>
    <w:rsid w:val="00BE631F"/>
    <w:rsid w:val="00C005DA"/>
    <w:rsid w:val="00C01D3D"/>
    <w:rsid w:val="00C201A2"/>
    <w:rsid w:val="00C21E4D"/>
    <w:rsid w:val="00C3713F"/>
    <w:rsid w:val="00C657C9"/>
    <w:rsid w:val="00C83647"/>
    <w:rsid w:val="00C924B1"/>
    <w:rsid w:val="00C92957"/>
    <w:rsid w:val="00C9685B"/>
    <w:rsid w:val="00CA2B00"/>
    <w:rsid w:val="00CA4FCE"/>
    <w:rsid w:val="00CB5B31"/>
    <w:rsid w:val="00CB6BC5"/>
    <w:rsid w:val="00CC1070"/>
    <w:rsid w:val="00CC7171"/>
    <w:rsid w:val="00CE09A5"/>
    <w:rsid w:val="00CE7952"/>
    <w:rsid w:val="00D127E1"/>
    <w:rsid w:val="00D27E7F"/>
    <w:rsid w:val="00D31013"/>
    <w:rsid w:val="00D40C01"/>
    <w:rsid w:val="00D56B70"/>
    <w:rsid w:val="00D616E9"/>
    <w:rsid w:val="00D748EC"/>
    <w:rsid w:val="00D83C24"/>
    <w:rsid w:val="00D95076"/>
    <w:rsid w:val="00DA6DE7"/>
    <w:rsid w:val="00DB26EB"/>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A0CB-4622-474C-A292-186F4A37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48</cp:revision>
  <cp:lastPrinted>2017-04-03T07:55:00Z</cp:lastPrinted>
  <dcterms:created xsi:type="dcterms:W3CDTF">2016-10-29T05:57:00Z</dcterms:created>
  <dcterms:modified xsi:type="dcterms:W3CDTF">2017-04-03T07:55:00Z</dcterms:modified>
</cp:coreProperties>
</file>